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280 x 110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4007841079734</w:t>
      </w:r>
      <w:br/>
      <w:r>
        <w:rPr/>
        <w:t xml:space="preserve">• Applications: Intérieur</w:t>
      </w:r>
      <w:br/>
      <w:r>
        <w:rPr/>
        <w:t xml:space="preserve">• Emplacement, pièce: couloir / allée, vestiaires, espace fonctionnel / local annexe, kitchenette, cage d'escalier, WC / salle d'eau, extérieur, Intérieur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10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0,38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942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9,4 W</w:t>
      </w:r>
      <w:br/>
      <w:r>
        <w:rPr/>
        <w:t xml:space="preserve">• Angle d'ouverture: 160 °</w:t>
      </w:r>
      <w:br/>
      <w:r>
        <w:rPr/>
        <w:t xml:space="preserve">• Indice de protection, plafond: IP44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079734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20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2026-03-24T01:11:42+01:00</dcterms:created>
  <dcterms:modified xsi:type="dcterms:W3CDTF">2026-03-24T01:11:42+01:00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